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numPr>
          <w:ilvl w:val="0"/>
          <w:numId w:val="0"/>
        </w:numPr>
        <w:spacing w:line="360" w:lineRule="auto"/>
        <w:ind w:firstLine="1121" w:firstLineChars="400"/>
        <w:rPr>
          <w:rFonts w:ascii="微软雅黑" w:hAnsi="微软雅黑" w:eastAsia="微软雅黑"/>
          <w:b/>
          <w:sz w:val="28"/>
          <w:szCs w:val="28"/>
          <w:lang w:eastAsia="zh-CN"/>
        </w:rPr>
      </w:pPr>
      <w:r>
        <w:rPr>
          <w:rFonts w:hint="eastAsia" w:ascii="微软雅黑" w:hAnsi="微软雅黑" w:eastAsia="微软雅黑"/>
          <w:b/>
          <w:sz w:val="28"/>
          <w:szCs w:val="28"/>
          <w:lang w:eastAsia="zh-CN"/>
        </w:rPr>
        <w:t>第2届职业技能大赛网络系统管理项目培训</w:t>
      </w:r>
      <w:r>
        <w:rPr>
          <w:rFonts w:hint="eastAsia" w:ascii="微软雅黑" w:hAnsi="微软雅黑" w:eastAsia="微软雅黑"/>
          <w:b/>
          <w:sz w:val="28"/>
          <w:szCs w:val="28"/>
          <w:lang w:val="en-US" w:eastAsia="zh-CN"/>
        </w:rPr>
        <w:t>项目</w:t>
      </w:r>
      <w:r>
        <w:rPr>
          <w:rFonts w:hint="eastAsia" w:ascii="微软雅黑" w:hAnsi="微软雅黑" w:eastAsia="微软雅黑"/>
          <w:b/>
          <w:sz w:val="28"/>
          <w:szCs w:val="28"/>
          <w:lang w:eastAsia="zh-CN"/>
        </w:rPr>
        <w:t>报价</w:t>
      </w:r>
    </w:p>
    <w:p>
      <w:pPr>
        <w:pStyle w:val="8"/>
        <w:widowControl w:val="0"/>
        <w:numPr>
          <w:ilvl w:val="0"/>
          <w:numId w:val="1"/>
        </w:numPr>
        <w:spacing w:line="360" w:lineRule="auto"/>
        <w:ind w:left="0" w:firstLine="480"/>
        <w:rPr>
          <w:rFonts w:ascii="微软雅黑" w:hAnsi="微软雅黑" w:eastAsia="微软雅黑"/>
          <w:b/>
          <w:lang w:eastAsia="zh-CN"/>
        </w:rPr>
      </w:pPr>
      <w:r>
        <w:rPr>
          <w:rFonts w:hint="eastAsia" w:ascii="微软雅黑" w:hAnsi="微软雅黑" w:eastAsia="微软雅黑"/>
          <w:b/>
          <w:lang w:eastAsia="zh-CN"/>
        </w:rPr>
        <w:t>培训讲师及实行条件要求</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师资资质要求，相关讲师必须有相应的资质证书</w:t>
      </w:r>
    </w:p>
    <w:p>
      <w:pPr>
        <w:ind w:left="900" w:leftChars="375"/>
        <w:rPr>
          <w:lang w:eastAsia="zh-CN"/>
        </w:rPr>
      </w:pPr>
      <w:r>
        <w:rPr>
          <w:lang w:eastAsia="zh-CN"/>
        </w:rPr>
        <w:t>Linux</w:t>
      </w:r>
      <w:r>
        <w:rPr>
          <w:rFonts w:hint="eastAsia"/>
          <w:lang w:eastAsia="zh-CN"/>
        </w:rPr>
        <w:t>系统讲师要求： 红帽原厂讲师认证     红帽系统</w:t>
      </w:r>
      <w:r>
        <w:rPr>
          <w:lang w:eastAsia="zh-CN"/>
        </w:rPr>
        <w:t>RHCA</w:t>
      </w:r>
      <w:r>
        <w:rPr>
          <w:rFonts w:hint="eastAsia"/>
          <w:lang w:eastAsia="zh-CN"/>
        </w:rPr>
        <w:t>架构师认证级别为</w:t>
      </w:r>
      <w:r>
        <w:rPr>
          <w:lang w:eastAsia="zh-CN"/>
        </w:rPr>
        <w:t>XI</w:t>
      </w:r>
      <w:r>
        <w:rPr>
          <w:rFonts w:hint="eastAsia"/>
          <w:lang w:eastAsia="zh-CN"/>
        </w:rPr>
        <w:t xml:space="preserve">      红帽云计算</w:t>
      </w:r>
      <w:r>
        <w:rPr>
          <w:lang w:eastAsia="zh-CN"/>
        </w:rPr>
        <w:t>OpenStack</w:t>
      </w:r>
      <w:r>
        <w:rPr>
          <w:rFonts w:hint="eastAsia"/>
          <w:lang w:eastAsia="zh-CN"/>
        </w:rPr>
        <w:t>工程师认证</w:t>
      </w:r>
    </w:p>
    <w:p>
      <w:pPr>
        <w:ind w:left="900" w:leftChars="375"/>
        <w:rPr>
          <w:lang w:eastAsia="zh-CN"/>
        </w:rPr>
      </w:pPr>
    </w:p>
    <w:p>
      <w:pPr>
        <w:ind w:left="900" w:leftChars="375"/>
        <w:rPr>
          <w:lang w:eastAsia="zh-CN"/>
        </w:rPr>
      </w:pPr>
      <w:r>
        <w:rPr>
          <w:lang w:eastAsia="zh-CN"/>
        </w:rPr>
        <w:t>Windows</w:t>
      </w:r>
      <w:r>
        <w:rPr>
          <w:rFonts w:hint="eastAsia"/>
          <w:lang w:eastAsia="zh-CN"/>
        </w:rPr>
        <w:t>系统讲师要求：  微软原厂讲师认证</w:t>
      </w:r>
    </w:p>
    <w:p>
      <w:pPr>
        <w:ind w:left="900" w:leftChars="375"/>
        <w:rPr>
          <w:lang w:eastAsia="zh-CN"/>
        </w:rPr>
      </w:pPr>
      <w:r>
        <w:rPr>
          <w:rFonts w:hint="eastAsia"/>
          <w:lang w:eastAsia="zh-CN"/>
        </w:rPr>
        <w:t>微软认证系统工程师（</w:t>
      </w:r>
      <w:r>
        <w:rPr>
          <w:lang w:eastAsia="zh-CN"/>
        </w:rPr>
        <w:t>MCSE</w:t>
      </w:r>
      <w:r>
        <w:rPr>
          <w:rFonts w:hint="eastAsia"/>
          <w:lang w:eastAsia="zh-CN"/>
        </w:rPr>
        <w:t>）</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实训条件要求</w:t>
      </w:r>
    </w:p>
    <w:p>
      <w:pPr>
        <w:pStyle w:val="8"/>
        <w:widowControl w:val="0"/>
        <w:spacing w:line="360" w:lineRule="auto"/>
        <w:ind w:left="780" w:firstLine="0" w:firstLineChars="0"/>
        <w:rPr>
          <w:lang w:eastAsia="zh-CN"/>
        </w:rPr>
      </w:pPr>
      <w:r>
        <w:rPr>
          <w:rFonts w:hint="eastAsia"/>
          <w:lang w:eastAsia="zh-CN"/>
        </w:rPr>
        <w:t>具备公有云实验室，可以同时满足</w:t>
      </w:r>
      <w:r>
        <w:rPr>
          <w:lang w:eastAsia="zh-CN"/>
        </w:rPr>
        <w:t>Windows</w:t>
      </w:r>
      <w:r>
        <w:rPr>
          <w:rFonts w:hint="eastAsia"/>
          <w:lang w:eastAsia="zh-CN"/>
        </w:rPr>
        <w:t>、</w:t>
      </w:r>
      <w:r>
        <w:rPr>
          <w:lang w:eastAsia="zh-CN"/>
        </w:rPr>
        <w:t>Linux</w:t>
      </w:r>
      <w:r>
        <w:rPr>
          <w:rFonts w:hint="eastAsia"/>
          <w:lang w:eastAsia="zh-CN"/>
        </w:rPr>
        <w:t>实验要求。</w:t>
      </w:r>
    </w:p>
    <w:p>
      <w:pPr>
        <w:pStyle w:val="8"/>
        <w:widowControl w:val="0"/>
        <w:spacing w:line="360" w:lineRule="auto"/>
        <w:ind w:firstLine="0" w:firstLineChars="0"/>
        <w:rPr>
          <w:rFonts w:ascii="微软雅黑" w:hAnsi="微软雅黑" w:eastAsia="微软雅黑"/>
          <w:sz w:val="28"/>
          <w:szCs w:val="28"/>
          <w:lang w:eastAsia="zh-CN"/>
        </w:rPr>
      </w:pPr>
    </w:p>
    <w:p>
      <w:pPr>
        <w:rPr>
          <w:rFonts w:ascii="微软雅黑" w:hAnsi="微软雅黑" w:eastAsia="微软雅黑"/>
          <w:b/>
          <w:lang w:eastAsia="zh-CN"/>
        </w:rPr>
      </w:pPr>
      <w:r>
        <w:rPr>
          <w:rFonts w:ascii="微软雅黑" w:hAnsi="微软雅黑" w:eastAsia="微软雅黑"/>
          <w:b/>
          <w:lang w:eastAsia="zh-CN"/>
        </w:rPr>
        <w:br w:type="page"/>
      </w:r>
    </w:p>
    <w:p>
      <w:pPr>
        <w:widowControl w:val="0"/>
        <w:spacing w:line="360" w:lineRule="auto"/>
        <w:rPr>
          <w:rFonts w:ascii="微软雅黑" w:hAnsi="微软雅黑" w:eastAsia="微软雅黑"/>
          <w:b/>
          <w:lang w:eastAsia="zh-CN"/>
        </w:rPr>
      </w:pPr>
      <w:r>
        <w:rPr>
          <w:rFonts w:hint="eastAsia" w:ascii="微软雅黑" w:hAnsi="微软雅黑" w:eastAsia="微软雅黑"/>
          <w:b/>
          <w:lang w:val="en-US" w:eastAsia="zh-CN"/>
        </w:rPr>
        <w:t>二、培训内容</w:t>
      </w:r>
      <w:r>
        <w:rPr>
          <w:rFonts w:hint="eastAsia" w:ascii="微软雅黑" w:hAnsi="微软雅黑" w:eastAsia="微软雅黑"/>
          <w:b/>
          <w:lang w:eastAsia="zh-CN"/>
        </w:rPr>
        <w:t>：课程大纲</w:t>
      </w:r>
    </w:p>
    <w:tbl>
      <w:tblPr>
        <w:tblStyle w:val="3"/>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730"/>
        <w:gridCol w:w="1247"/>
        <w:gridCol w:w="3612"/>
        <w:gridCol w:w="77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6" w:hRule="atLeast"/>
        </w:trPr>
        <w:tc>
          <w:tcPr>
            <w:tcW w:w="153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项目</w:t>
            </w:r>
          </w:p>
        </w:tc>
        <w:tc>
          <w:tcPr>
            <w:tcW w:w="73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序号</w:t>
            </w:r>
          </w:p>
        </w:tc>
        <w:tc>
          <w:tcPr>
            <w:tcW w:w="1247"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专题</w:t>
            </w:r>
          </w:p>
        </w:tc>
        <w:tc>
          <w:tcPr>
            <w:tcW w:w="361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内容</w:t>
            </w:r>
          </w:p>
        </w:tc>
        <w:tc>
          <w:tcPr>
            <w:tcW w:w="77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项目数</w:t>
            </w:r>
          </w:p>
        </w:tc>
        <w:tc>
          <w:tcPr>
            <w:tcW w:w="730"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6"/>
                <w:szCs w:val="26"/>
                <w:u w:val="none"/>
              </w:rPr>
            </w:pPr>
            <w:r>
              <w:rPr>
                <w:rFonts w:hint="eastAsia" w:ascii="微软雅黑" w:hAnsi="微软雅黑" w:eastAsia="微软雅黑" w:cs="微软雅黑"/>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5" w:hRule="atLeast"/>
        </w:trPr>
        <w:tc>
          <w:tcPr>
            <w:tcW w:w="1536"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Server Client Environment</w:t>
            </w:r>
          </w:p>
        </w:tc>
        <w:tc>
          <w:tcPr>
            <w:tcW w:w="7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124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SSH服务</w:t>
            </w:r>
          </w:p>
        </w:tc>
        <w:tc>
          <w:tcPr>
            <w:tcW w:w="361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了解SSH远程连接服务的基本概念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部署SSH远程连接服务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 xml:space="preserve">3. 使用密钥对免密钥登录SSH </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安全加固SSH服务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实现空密码登录SSH服务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配置防止SSH服务遭暴力破解</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自定义SSH客户端参数连接SSH服务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SSH加密代理</w:t>
            </w:r>
          </w:p>
        </w:tc>
        <w:tc>
          <w:tcPr>
            <w:tcW w:w="77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50"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NTP服务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了解NTP时间同步服务的基本概念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掌握图形化界面使用工具同步时间</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掌握字符界面使用工具同步时间</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部署NTP时间同步服务器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DNS服务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了解DNS域名解析服务的基本概念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部署DNS服务的正向解析区域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部署DNS服务的反向解析区域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配置DNS内外网解析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配置DNS子域委派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配置DNS根域解析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部署DNS主从服务器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配置DNS安全加固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部署动态DNS-DDNS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DHCP服务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了解DHCP服务的基本概念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部署DHCP服务器分配地址</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掌握DHCP中继的搭建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配置DHCP获取固定地址</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NFS服务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了解NFS服务的基本概念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部署NFS服务器共享目录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配置NFS共享支持可读写的目录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NFS客户端和服务端的用户映射</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配置取消NFS对于root用户的匿名映射</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配置映射所有的用户为指定的用户</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NFS客户端实现自动挂载</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SAMBA服务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了解SAMBA服务的基本概念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部署SAMBA服务器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配置匿名可写的samba共享</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配置基于用户验证的共享</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52"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FTP服务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了解FTP服务的基本概念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部署FTP服务器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配置匿名用户可读写删除修改文件目录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配置指定匿名用户登录的默认目录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配置本地用户Chroot在用户的家目录</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配置本地用户Chroot在统一目录下</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配置FTP限制用户连接的数据及速率</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 xml:space="preserve">8. 配置FTP服务使用虚拟用户登录 </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4"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WEB服务-APACHE2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了解APACHE2服务的基本概念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部署APACHE2网页服务器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配置APACHE2应用多站点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配置APACHE2实现访问控制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配置APACHE2安全加固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配置APACHE2实现SSL加密</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配置APACHE2实现http跳转https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配置CGI实现网页执行脚本</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配置APACHE2实现动静分离</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10. 搭建LAMP架构环境</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WEB服务-NGINX</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了解NGINX服务的基本概念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部署NGINX网页服务器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配置NGINX应用多站点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配置NGINX实现访问控制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配置NGINX安全加固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配置NGINX实现SSL加密</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配置NGINX实现http跳转https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配置NGINX实现动静分离</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 搭建LNMP架构环境</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MAIL服务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了解MAIL服务的基本概念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掌握部署MAIL邮件服务器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掌握网页邮件Roundcube的搭建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配置使用TLS/SSL加密邮件服务器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配置使用STARTTLS加密右键服务器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配置Postfix与Dovecot分离搭建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Roundcube使用SSL加密端口登录</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ADDS服务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了解ADDS域的基本概念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掌握使用图形化界面部署ADDS域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掌握使用powershell命令行部署ADDS域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掌握只读DC的基本搭建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掌握子域DC的基本搭建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掌握同级DC的基本搭建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掌握AD站点的划分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DHCP服务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了解DHCP服务的基本概念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掌握部署DHCP服务器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配置DHCP保留地址</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配置DHCP筛选客户端</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掌握DHCP中继的配置</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DNS服务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了解DNS域名解析服务的基本概念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部署DNS服务的正向解析区域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部署DNS服务的反向解析区域</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配置DNS基于区域、时间的解析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配置DNS子域委派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配置DNS根域解析</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部署DNS辅助服务器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部署动态DNS-DDNS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6"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ISCSI服务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了解ISCSI服务的基本概念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掌握ISCSI服务的基本搭建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配置ISCSI服务双向CHAP认证</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配置基于IPSEC使用对称密钥加密ISCSI服务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配置基于IPSEC使用非对称密钥加密ISCSI服务</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配置基于IPSEC加PFS建立ISCSI服务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5"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ADCS服务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了解ADCS证书颁发机构的基本概念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掌握独立CA-根CA的基本搭建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掌握独立CA-从属CA的基本搭建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掌握企业CA-根CA的基本搭建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掌握企业CA-从属CA的基本搭建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掌握部署证书颁发机构的吊销列表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掌握使用证书模板注册证书</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 掌握使用证书模板自动生成证书</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IIS服务</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掌握IIS服务的基本概念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掌握IIS-WEB服务的基本搭建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掌握IIS-FTP服务的基本搭建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配置IIS-WEB应用多站点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配置IIS-WEB的CGI部署执行脚本</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 配置IIS-WEB实现访问控制</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 配置IIS-WEB的http跳转https</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配置RAS路由服务-NAT</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配置RAS路由服务-静态路由</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 配置RAS路由服务-RIP</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7"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掌握RAS路由服务PPTP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掌握RAS路由服务PPTP VPN的基本搭建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 掌握RAS路由服务L2TP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 掌握RAS路由服务L2TP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掌握RAS路由服务SSTP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掌握RAS路由服务SSTP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1" w:hRule="atLeast"/>
        </w:trPr>
        <w:tc>
          <w:tcPr>
            <w:tcW w:w="1536"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u w:val="none"/>
              </w:rPr>
            </w:pPr>
          </w:p>
        </w:tc>
        <w:tc>
          <w:tcPr>
            <w:tcW w:w="7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ROUTING AND VPN服务-4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 掌握RAS路由服务IKEV2 VPN的基本概念</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 掌握RAS路由服务IKEV2 VPN的基本搭建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w:t>
            </w:r>
          </w:p>
        </w:tc>
        <w:tc>
          <w:tcPr>
            <w:tcW w:w="730" w:type="dxa"/>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新宋体" w:hAnsi="新宋体" w:eastAsia="新宋体" w:cs="新宋体"/>
                <w:i w:val="0"/>
                <w:iCs w:val="0"/>
                <w:color w:val="000000"/>
                <w:sz w:val="24"/>
                <w:szCs w:val="24"/>
                <w:u w:val="none"/>
              </w:rPr>
            </w:pPr>
          </w:p>
        </w:tc>
      </w:tr>
    </w:tbl>
    <w:p>
      <w:pPr>
        <w:ind w:firstLine="480" w:firstLineChars="200"/>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三：报价要求</w:t>
      </w:r>
    </w:p>
    <w:p>
      <w:pPr>
        <w:pStyle w:val="2"/>
        <w:numPr>
          <w:ilvl w:val="0"/>
          <w:numId w:val="3"/>
        </w:numPr>
        <w:ind w:left="48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控制价≤3万元</w:t>
      </w:r>
    </w:p>
    <w:p>
      <w:pPr>
        <w:numPr>
          <w:ilvl w:val="0"/>
          <w:numId w:val="0"/>
        </w:numPr>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报价密封盖章后有效期内</w:t>
      </w:r>
      <w:r>
        <w:rPr>
          <w:rFonts w:hint="eastAsia" w:asciiTheme="minorEastAsia" w:hAnsiTheme="minorEastAsia" w:eastAsiaTheme="minorEastAsia" w:cstheme="minorEastAsia"/>
          <w:bCs/>
          <w:sz w:val="24"/>
          <w:szCs w:val="24"/>
          <w:lang w:val="en-US" w:eastAsia="zh-CN"/>
        </w:rPr>
        <w:t>可</w:t>
      </w:r>
      <w:r>
        <w:rPr>
          <w:rFonts w:hint="eastAsia" w:asciiTheme="minorEastAsia" w:hAnsiTheme="minorEastAsia" w:eastAsiaTheme="minorEastAsia" w:cstheme="minorEastAsia"/>
          <w:bCs/>
          <w:sz w:val="24"/>
          <w:szCs w:val="24"/>
        </w:rPr>
        <w:t>送到嘉庚大楼812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技术联系、</w:t>
      </w:r>
      <w:r>
        <w:rPr>
          <w:rFonts w:hint="eastAsia" w:asciiTheme="minorEastAsia" w:hAnsiTheme="minorEastAsia" w:eastAsiaTheme="minorEastAsia" w:cstheme="minorEastAsia"/>
          <w:bCs/>
          <w:sz w:val="24"/>
          <w:szCs w:val="24"/>
        </w:rPr>
        <w:t>北门门岗但需提前电话确定联系，报价有效期至</w:t>
      </w:r>
      <w:r>
        <w:rPr>
          <w:rFonts w:hint="eastAsia" w:asciiTheme="minorEastAsia" w:hAnsiTheme="minorEastAsia" w:eastAsiaTheme="minorEastAsia" w:cstheme="minorEastAsia"/>
          <w:bCs/>
          <w:color w:val="auto"/>
          <w:sz w:val="24"/>
          <w:szCs w:val="24"/>
        </w:rPr>
        <w:t>2022年</w:t>
      </w:r>
      <w:r>
        <w:rPr>
          <w:rFonts w:hint="eastAsia" w:asciiTheme="minorEastAsia" w:hAnsiTheme="minorEastAsia" w:eastAsiaTheme="minorEastAsia" w:cstheme="minorEastAsia"/>
          <w:bCs/>
          <w:color w:val="auto"/>
          <w:sz w:val="24"/>
          <w:szCs w:val="24"/>
          <w:lang w:val="en-US" w:eastAsia="zh-CN"/>
        </w:rPr>
        <w:t>10</w:t>
      </w:r>
      <w:r>
        <w:rPr>
          <w:rFonts w:hint="eastAsia" w:asciiTheme="minorEastAsia" w:hAnsiTheme="minorEastAsia" w:eastAsiaTheme="minorEastAsia" w:cstheme="minorEastAsia"/>
          <w:bCs/>
          <w:color w:val="auto"/>
          <w:sz w:val="24"/>
          <w:szCs w:val="24"/>
        </w:rPr>
        <w:t>月</w:t>
      </w:r>
      <w:r>
        <w:rPr>
          <w:rFonts w:hint="eastAsia" w:asciiTheme="minorEastAsia" w:hAnsiTheme="minorEastAsia" w:eastAsiaTheme="minorEastAsia" w:cstheme="minorEastAsia"/>
          <w:bCs/>
          <w:color w:val="auto"/>
          <w:sz w:val="24"/>
          <w:szCs w:val="24"/>
          <w:lang w:val="en-US" w:eastAsia="zh-CN"/>
        </w:rPr>
        <w:t>113日上午9点</w:t>
      </w:r>
      <w:r>
        <w:rPr>
          <w:rFonts w:hint="eastAsia" w:asciiTheme="minorEastAsia" w:hAnsiTheme="minorEastAsia" w:eastAsiaTheme="minorEastAsia" w:cstheme="minorEastAsia"/>
          <w:bCs/>
          <w:color w:val="auto"/>
          <w:sz w:val="24"/>
          <w:szCs w:val="24"/>
        </w:rPr>
        <w:t>，报价含税；</w:t>
      </w:r>
    </w:p>
    <w:p>
      <w:pPr>
        <w:numPr>
          <w:ilvl w:val="0"/>
          <w:numId w:val="0"/>
        </w:numPr>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报价文件封口未密封盖章及报价文件封面未写项目内容的全部为无效报价；</w:t>
      </w:r>
      <w:r>
        <w:rPr>
          <w:rFonts w:hint="eastAsia" w:asciiTheme="minorEastAsia" w:hAnsiTheme="minorEastAsia" w:eastAsiaTheme="minorEastAsia" w:cstheme="minorEastAsia"/>
          <w:bCs/>
          <w:sz w:val="24"/>
          <w:szCs w:val="24"/>
          <w:lang w:val="en-US" w:eastAsia="zh-CN"/>
        </w:rPr>
        <w:t xml:space="preserve"> </w:t>
      </w:r>
    </w:p>
    <w:p>
      <w:pPr>
        <w:pStyle w:val="2"/>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4、不接受邮寄报价；</w:t>
      </w:r>
      <w:bookmarkStart w:id="0" w:name="_GoBack"/>
      <w:bookmarkEnd w:id="0"/>
    </w:p>
    <w:p>
      <w:pPr>
        <w:pStyle w:val="2"/>
        <w:numPr>
          <w:numId w:val="0"/>
        </w:numPr>
        <w:ind w:left="480" w:leftChars="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报价单位：</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联系电话：     </w:t>
      </w:r>
    </w:p>
    <w:p>
      <w:pPr>
        <w:ind w:firstLine="3840" w:firstLineChars="1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集美工业学校</w:t>
      </w:r>
    </w:p>
    <w:p>
      <w:pPr>
        <w:ind w:left="638" w:leftChars="266"/>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方维钦  7790922</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技术联系人： 田老师  153 5940 5352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ind w:left="638" w:leftChars="266" w:firstLine="2160" w:firstLineChars="9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42DAC"/>
    <w:multiLevelType w:val="singleLevel"/>
    <w:tmpl w:val="D4C42DAC"/>
    <w:lvl w:ilvl="0" w:tentative="0">
      <w:start w:val="1"/>
      <w:numFmt w:val="decimal"/>
      <w:suff w:val="nothing"/>
      <w:lvlText w:val="%1、"/>
      <w:lvlJc w:val="left"/>
      <w:pPr>
        <w:ind w:left="480" w:leftChars="0" w:firstLine="0" w:firstLineChars="0"/>
      </w:pPr>
    </w:lvl>
  </w:abstractNum>
  <w:abstractNum w:abstractNumId="1">
    <w:nsid w:val="552830F4"/>
    <w:multiLevelType w:val="multilevel"/>
    <w:tmpl w:val="552830F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1A2627"/>
    <w:multiLevelType w:val="multilevel"/>
    <w:tmpl w:val="7D1A262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zBmYWQwMjZiMTFjYjY3MDJmMDk3YWI2YWI0N2MifQ=="/>
  </w:docVars>
  <w:rsids>
    <w:rsidRoot w:val="0D5826A3"/>
    <w:rsid w:val="0D5826A3"/>
    <w:rsid w:val="3E255116"/>
    <w:rsid w:val="62B67981"/>
    <w:rsid w:val="68A41FE3"/>
    <w:rsid w:val="72C84398"/>
    <w:rsid w:val="7FC8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宋体" w:cs="Times New Roman"/>
      <w:sz w:val="24"/>
      <w:szCs w:val="24"/>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Times New Roman"/>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uiPriority w:val="0"/>
    <w:rPr>
      <w:color w:val="0066CC"/>
      <w:u w:val="none"/>
    </w:rPr>
  </w:style>
  <w:style w:type="character" w:styleId="7">
    <w:name w:val="Hyperlink"/>
    <w:basedOn w:val="5"/>
    <w:uiPriority w:val="0"/>
    <w:rPr>
      <w:color w:val="0066CC"/>
      <w:u w:val="none"/>
    </w:rPr>
  </w:style>
  <w:style w:type="paragraph" w:styleId="8">
    <w:name w:val="List Paragraph"/>
    <w:basedOn w:val="1"/>
    <w:qFormat/>
    <w:uiPriority w:val="34"/>
    <w:pPr>
      <w:ind w:firstLine="420" w:firstLineChars="200"/>
    </w:pPr>
  </w:style>
  <w:style w:type="character" w:customStyle="1" w:styleId="9">
    <w:name w:val="dropdown"/>
    <w:basedOn w:val="5"/>
    <w:qFormat/>
    <w:uiPriority w:val="0"/>
  </w:style>
  <w:style w:type="character" w:customStyle="1" w:styleId="10">
    <w:name w:val="dropdown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1871</Words>
  <Characters>2674</Characters>
  <Lines>0</Lines>
  <Paragraphs>0</Paragraphs>
  <TotalTime>4</TotalTime>
  <ScaleCrop>false</ScaleCrop>
  <LinksUpToDate>false</LinksUpToDate>
  <CharactersWithSpaces>2936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2022-04-18T03:11:00Z</dcterms:created>
  <dc:creator>体重等于身高</dc:creator>
  <cp:lastModifiedBy>方维钦</cp:lastModifiedBy>
  <dcterms:modified xsi:type="dcterms:W3CDTF">2022-10-09T00:43:17Z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3573BED751C9405FA3779F58CBFC9E11</vt:lpwstr>
  </property>
</Properties>
</file>